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一、总体变化情况</w:t>
      </w:r>
    </w:p>
    <w:p>
      <w:pPr>
        <w:rPr>
          <w:rFonts w:hint="eastAsia"/>
        </w:rPr>
      </w:pPr>
      <w:r>
        <w:rPr>
          <w:rFonts w:hint="eastAsia"/>
        </w:rPr>
        <w:t xml:space="preserve">(一)变化情况 1.修订依据 </w:t>
      </w:r>
    </w:p>
    <w:p>
      <w:pPr>
        <w:rPr>
          <w:rFonts w:hint="eastAsia"/>
        </w:rPr>
      </w:pPr>
      <w:r>
        <w:rPr>
          <w:rFonts w:hint="eastAsia"/>
        </w:rPr>
        <w:t xml:space="preserve">人力资源和社会保障部住房和城乡建设部审定的《二级建造师执业资格考试大纲》(2014 年版)。 </w:t>
      </w:r>
    </w:p>
    <w:p>
      <w:pPr>
        <w:rPr>
          <w:rFonts w:hint="eastAsia"/>
        </w:rPr>
      </w:pPr>
      <w:r>
        <w:rPr>
          <w:rFonts w:hint="eastAsia"/>
        </w:rPr>
        <w:t>2.编写原则</w:t>
      </w:r>
    </w:p>
    <w:p>
      <w:pPr>
        <w:rPr>
          <w:rFonts w:hint="eastAsia"/>
        </w:rPr>
      </w:pPr>
      <w:r>
        <w:rPr>
          <w:rFonts w:hint="eastAsia"/>
        </w:rPr>
        <w:t xml:space="preserve">(1)坚持本书着重是二级建造师各专业通用的建设工程法规及相关知识; </w:t>
      </w:r>
    </w:p>
    <w:p>
      <w:pPr>
        <w:rPr>
          <w:rFonts w:hint="eastAsia"/>
        </w:rPr>
      </w:pPr>
      <w:r>
        <w:rPr>
          <w:rFonts w:hint="eastAsia"/>
        </w:rPr>
        <w:t xml:space="preserve">(2)以国家的法律行政法规和最高人民法院的司法解释(司法文件)等为主。 </w:t>
      </w:r>
    </w:p>
    <w:p>
      <w:pPr>
        <w:rPr>
          <w:rFonts w:hint="eastAsia"/>
        </w:rPr>
      </w:pPr>
      <w:r>
        <w:rPr>
          <w:rFonts w:hint="eastAsia"/>
        </w:rPr>
        <w:t>3.基本结构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基本构架结构不变</w:t>
      </w:r>
    </w:p>
    <w:p>
      <w:pPr>
        <w:rPr>
          <w:rFonts w:hint="eastAsia"/>
        </w:rPr>
      </w:pPr>
      <w:r>
        <w:rPr>
          <w:rFonts w:hint="eastAsia"/>
        </w:rPr>
        <w:t>4.修改内容</w:t>
      </w:r>
    </w:p>
    <w:p>
      <w:pPr>
        <w:rPr>
          <w:rFonts w:hint="eastAsia"/>
        </w:rPr>
      </w:pPr>
      <w:r>
        <w:rPr>
          <w:rFonts w:hint="eastAsia"/>
        </w:rPr>
        <w:t xml:space="preserve">(1)重点修改根据新修订的法律法规; </w:t>
      </w:r>
    </w:p>
    <w:p>
      <w:pPr>
        <w:rPr>
          <w:rFonts w:hint="eastAsia"/>
        </w:rPr>
      </w:pPr>
      <w:r>
        <w:rPr>
          <w:rFonts w:hint="eastAsia"/>
        </w:rPr>
        <w:t xml:space="preserve">(2)充实新颁布的法律法规; </w:t>
      </w:r>
    </w:p>
    <w:p>
      <w:pPr>
        <w:rPr>
          <w:rFonts w:hint="eastAsia"/>
        </w:rPr>
      </w:pPr>
      <w:r>
        <w:rPr>
          <w:rFonts w:hint="eastAsia"/>
        </w:rPr>
        <w:t>(3)删除被废止法规的内容;</w:t>
      </w:r>
    </w:p>
    <w:p>
      <w:pPr>
        <w:rPr>
          <w:rFonts w:hint="eastAsia"/>
        </w:rPr>
      </w:pPr>
      <w:r>
        <w:rPr>
          <w:rFonts w:hint="eastAsia"/>
        </w:rPr>
        <w:t xml:space="preserve"> (4)简化较底层级的法规特别是规范性文件的内容。</w:t>
      </w:r>
    </w:p>
    <w:p>
      <w:pPr>
        <w:rPr>
          <w:rFonts w:hint="eastAsia"/>
        </w:rPr>
      </w:pPr>
      <w:r>
        <w:rPr>
          <w:rFonts w:hint="eastAsia"/>
        </w:rPr>
        <w:t>(二)数据统计 1.理论变化：第二章、第三章部分内容做出调整;</w:t>
      </w:r>
    </w:p>
    <w:p>
      <w:pPr>
        <w:rPr>
          <w:rFonts w:hint="eastAsia"/>
        </w:rPr>
      </w:pPr>
      <w:r>
        <w:rPr>
          <w:rFonts w:hint="eastAsia"/>
        </w:rPr>
        <w:t>2.页码变化：未变;</w:t>
      </w:r>
    </w:p>
    <w:p>
      <w:pPr>
        <w:rPr>
          <w:rFonts w:hint="eastAsia"/>
        </w:rPr>
      </w:pPr>
      <w:r>
        <w:rPr>
          <w:rFonts w:hint="eastAsia"/>
        </w:rPr>
        <w:t>3.大纲情况：继续保留 16 年教材去掉“掌握.熟悉.了解”等内容程度的要求;</w:t>
      </w:r>
    </w:p>
    <w:p>
      <w:pPr>
        <w:rPr>
          <w:rFonts w:hint="eastAsia"/>
        </w:rPr>
      </w:pPr>
      <w:r>
        <w:rPr>
          <w:rFonts w:hint="eastAsia"/>
        </w:rPr>
        <w:t>4.体系变化：章节未变;</w:t>
      </w:r>
    </w:p>
    <w:p>
      <w:pPr>
        <w:rPr>
          <w:rFonts w:hint="eastAsia"/>
        </w:rPr>
      </w:pPr>
      <w:r>
        <w:rPr>
          <w:rFonts w:hint="eastAsia"/>
        </w:rPr>
        <w:t>5.案例情况：未变;</w:t>
      </w:r>
    </w:p>
    <w:p>
      <w:pPr>
        <w:rPr>
          <w:rFonts w:hint="eastAsia"/>
        </w:rPr>
      </w:pPr>
      <w:r>
        <w:rPr>
          <w:rFonts w:hint="eastAsia"/>
        </w:rPr>
        <w:t>6.三级标题变化：未变;</w:t>
      </w:r>
    </w:p>
    <w:p>
      <w:pPr>
        <w:rPr>
          <w:rFonts w:hint="eastAsia"/>
        </w:rPr>
      </w:pPr>
      <w:r>
        <w:rPr>
          <w:rFonts w:hint="eastAsia"/>
        </w:rPr>
        <w:t>7.理论知识点变化：2处;</w:t>
      </w:r>
    </w:p>
    <w:p>
      <w:pPr>
        <w:rPr>
          <w:rFonts w:hint="eastAsia"/>
        </w:rPr>
      </w:pPr>
      <w:r>
        <w:rPr>
          <w:rFonts w:hint="eastAsia"/>
        </w:rPr>
        <w:t>(三)新变规范性文件</w:t>
      </w:r>
    </w:p>
    <w:p>
      <w:pPr>
        <w:rPr>
          <w:rFonts w:hint="eastAsia"/>
        </w:rPr>
      </w:pPr>
      <w:r>
        <w:rPr>
          <w:rFonts w:hint="eastAsia"/>
        </w:rPr>
        <w:t>1.1995年国务院《关于严格限制新开工项目，加强固定资产投资源头控制的通知》、《关于严格控制高档 房地产开发项目的通知》</w:t>
      </w:r>
    </w:p>
    <w:p>
      <w:pPr>
        <w:rPr>
          <w:rFonts w:hint="eastAsia"/>
        </w:rPr>
      </w:pPr>
      <w:r>
        <w:rPr>
          <w:rFonts w:hint="eastAsia"/>
        </w:rPr>
        <w:t>2.2013年新修订的《工程建设项目施工招标投标办法》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根据财政部、国家税务总局《关于全面推开营业税改增值税试点的通知》(财税[2016]36 号)要求，建筑 业自2016年5月1日起纳入营业税改征增值税试点范围。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二、细节变化解读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【变点1：开工报告审批制度】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2Z202011 施工许可证和开工报告的适用范围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P46二.实行开工报告制度的建设工程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第一段删除最后一句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“1995年国务院《关于严格限制新开工项目，加强固定资产投资源头控制的通知》.《关于严格控制高档房 地 产开发项目的通知》中，均提到了开工报告审批制度。”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【变点2：投标保证金】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2Z203013 投标人、投标文件和投标保证金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P85四.投标保证金新增第三段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“2013年3月经修改发布的《工程建设项目施工招标投标办法》进一步规定，投标保证金不得超过项目估 算 价的 2%，但最高不得超过 80 万元人民币。投标人应当按照招标文件要求的方式和金额，将投标保证金随投标 文件 提交给招标人或者委托的招标代理机构”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【新变点典型题】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【来源】新版教材 P85 2Z203013 投标人、投标文件和投标保证金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根据 2013 年 3 月新修订的《工程建设项目施工招标投标办法》，关于投标保证金的说法，错误的是()。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A.中标人拒绝签订施工合同时，招标人有权没收其投标保证金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B.投标保证金可以采用银行保函方式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C.招标人发出中标通知书，投标保证金的有效期自动终止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D.投标保证金最高不得超过80万元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【答案】C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【解析】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 正确，在发生下列情形时，招标人有权没收投标保证金：①投标人在投标有效期内撤回其投标文件;②中 标未能在规定期限内提交履约保证金或签署合同协议。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B 正确，投标保证金除现金外，可以是银行出具的银行保函.保兑支票.银行汇票或现金支票。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C 错误，投标保证金有效期应当与投标有效期一致。招标人应当在招标文件中载明投标有效期。投标有效期 从提交投标文件的截止之日起算。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D 正确，投标保证金一般不得超过投标总价的 2%，但最高不得超过 80 万元人民币。投标保证金有效期应当 超出投标有效期 30 天。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2.关于投标保证金的说法，正确的是()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A.两阶段招标中要求提交投标保证金的，应在第一阶段提出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B.投标保证金不得超过投标项目估价的2%，但最高不得超过50万元人民币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C.投标保证金有效期应当与投标有效期一致 D.招标人应当在中标通知书发出后5日内退还中标人的投标保证金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E.未中标的投标人的投标保证金及利息，招标人应当在签约后5日内退还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【答案】CE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【解析】A 选项错误，实行两阶段招标的，招标人要求投标人提交投标保证金的，应当在第二阶段提出。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B 选项错误，《招标投标法实施条例》规定，招标人在招标文件中要求投标人提交投标保证金的，投标保证 金 不得超过招标项目估算价的 2%，但最高不得超过 80 万元人民币。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C 选项正确，投标保证金有效期应当与投标有效期一致。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D 选项错误，E 选项正确，招标人最迟应当在书面合同签订后 5 日内向中标人和未中标的投标人退还投标保 证 金及银行同期存款利息。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1F76"/>
    <w:multiLevelType w:val="singleLevel"/>
    <w:tmpl w:val="58561F76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58561FCE"/>
    <w:multiLevelType w:val="singleLevel"/>
    <w:tmpl w:val="58561FC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1221"/>
    <w:rsid w:val="7C704A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</dc:creator>
  <cp:lastModifiedBy>喻丹</cp:lastModifiedBy>
  <dcterms:modified xsi:type="dcterms:W3CDTF">2016-12-18T05:33:53Z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